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34F90" w14:textId="77777777" w:rsidR="00F743D3" w:rsidRPr="00F743D3" w:rsidRDefault="00F743D3" w:rsidP="00F743D3">
      <w:pPr>
        <w:rPr>
          <w:rFonts w:ascii="Comic Sans MS" w:hAnsi="Comic Sans MS"/>
          <w:sz w:val="24"/>
          <w:szCs w:val="24"/>
          <w:lang w:eastAsia="el-GR"/>
        </w:rPr>
      </w:pPr>
      <w:proofErr w:type="spellStart"/>
      <w:r w:rsidRPr="00F743D3">
        <w:rPr>
          <w:rFonts w:ascii="Comic Sans MS" w:hAnsi="Comic Sans MS"/>
          <w:sz w:val="24"/>
          <w:szCs w:val="24"/>
          <w:lang w:eastAsia="el-GR"/>
        </w:rPr>
        <w:t>Grammatik</w:t>
      </w:r>
      <w:proofErr w:type="spellEnd"/>
      <w:r w:rsidRPr="00F743D3">
        <w:rPr>
          <w:rFonts w:ascii="Comic Sans MS" w:hAnsi="Comic Sans MS"/>
          <w:sz w:val="24"/>
          <w:szCs w:val="24"/>
          <w:lang w:eastAsia="el-GR"/>
        </w:rPr>
        <w:t xml:space="preserve"> – 1</w:t>
      </w:r>
    </w:p>
    <w:p w14:paraId="60702A97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Παρατατικός των βοηθητικών ρημάτων (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Präteritum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 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von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haben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und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sein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)</w:t>
      </w:r>
    </w:p>
    <w:p w14:paraId="4A1ED68B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 Ο παρατατικός είναι αφηγηματικός χρόνος. Χρησιμοποιείται για κάτι που έγινε στο παρελθόν, κυρίως στον γραπτό λόγο.</w:t>
      </w:r>
    </w:p>
    <w:p w14:paraId="1C197DB9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Τα βοηθητικά ρήματα χρησιμοποιούνται κυρίως στον παρατατικό, όταν μιλάμε για κάτι που έγινε στο παρελθόν (ακόμα και στον προφορικό λόγο), και κλίνονται ως εξής:</w:t>
      </w:r>
    </w:p>
    <w:tbl>
      <w:tblPr>
        <w:tblW w:w="6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475"/>
        <w:gridCol w:w="2475"/>
      </w:tblGrid>
      <w:tr w:rsidR="00F743D3" w:rsidRPr="00F743D3" w14:paraId="132F8885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8F8D2EA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CC01109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sein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F5A3853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haben</w:t>
            </w:r>
            <w:proofErr w:type="spellEnd"/>
          </w:p>
        </w:tc>
      </w:tr>
      <w:tr w:rsidR="00F743D3" w:rsidRPr="00F743D3" w14:paraId="3586B79C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1950AEB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DD0A07A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7A9509E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</w:t>
            </w:r>
            <w:proofErr w:type="spellEnd"/>
          </w:p>
        </w:tc>
      </w:tr>
      <w:tr w:rsidR="00F743D3" w:rsidRPr="00F743D3" w14:paraId="6AE7121B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C3E990B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881E568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warst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A4A9948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hattest</w:t>
            </w:r>
            <w:proofErr w:type="spellEnd"/>
          </w:p>
        </w:tc>
      </w:tr>
      <w:tr w:rsidR="00F743D3" w:rsidRPr="00F743D3" w14:paraId="749A3969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DAE836E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/es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AF4E2E8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FB1D737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</w:t>
            </w:r>
            <w:proofErr w:type="spellEnd"/>
          </w:p>
        </w:tc>
      </w:tr>
      <w:tr w:rsidR="00F743D3" w:rsidRPr="00F743D3" w14:paraId="73C12665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B996894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74DE449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waren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23B9B49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hatten</w:t>
            </w:r>
            <w:proofErr w:type="spellEnd"/>
          </w:p>
        </w:tc>
      </w:tr>
      <w:tr w:rsidR="00F743D3" w:rsidRPr="00F743D3" w14:paraId="3E93231B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3EAD9AA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3AD3B07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wart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7BE6770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hattet</w:t>
            </w:r>
            <w:proofErr w:type="spellEnd"/>
          </w:p>
        </w:tc>
      </w:tr>
      <w:tr w:rsidR="00F743D3" w:rsidRPr="00F743D3" w14:paraId="353BE40B" w14:textId="77777777" w:rsidTr="00F743D3">
        <w:trPr>
          <w:tblCellSpacing w:w="0" w:type="dxa"/>
        </w:trPr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DB6A078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236F761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waren</w:t>
            </w:r>
            <w:proofErr w:type="spellEnd"/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1BD31A3" w14:textId="77777777" w:rsid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hatten</w:t>
            </w:r>
            <w:proofErr w:type="spellEnd"/>
          </w:p>
          <w:p w14:paraId="7225F52E" w14:textId="77777777" w:rsidR="00F743D3" w:rsidRPr="00F743D3" w:rsidRDefault="00F743D3" w:rsidP="00F743D3">
            <w:pPr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</w:p>
        </w:tc>
      </w:tr>
    </w:tbl>
    <w:p w14:paraId="55A83710" w14:textId="77777777" w:rsidR="00F743D3" w:rsidRDefault="00F743D3" w:rsidP="00F743D3">
      <w:pPr>
        <w:rPr>
          <w:rFonts w:ascii="Comic Sans MS" w:hAnsi="Comic Sans MS" w:cs="Times New Roman"/>
          <w:sz w:val="24"/>
          <w:szCs w:val="24"/>
          <w:lang w:eastAsia="el-GR"/>
        </w:rPr>
      </w:pPr>
    </w:p>
    <w:p w14:paraId="31553C14" w14:textId="77777777" w:rsidR="00F743D3" w:rsidRDefault="00F743D3" w:rsidP="00F743D3">
      <w:pPr>
        <w:rPr>
          <w:rFonts w:ascii="Comic Sans MS" w:hAnsi="Comic Sans MS" w:cs="Times New Roman"/>
          <w:sz w:val="24"/>
          <w:szCs w:val="24"/>
          <w:lang w:eastAsia="el-GR"/>
        </w:rPr>
      </w:pPr>
    </w:p>
    <w:p w14:paraId="2DEE87E2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 </w:t>
      </w:r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Παρακείμενος ομαλών ρημάτων (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Perfekt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 xml:space="preserve"> – 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schwache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Verben</w:t>
      </w:r>
      <w:proofErr w:type="spellEnd"/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)</w:t>
      </w:r>
    </w:p>
    <w:p w14:paraId="32DFC0EB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 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>O </w:t>
      </w: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παρακείμενος 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χρησιμοποιείται για κάτι που έγινε στο παρελθόν και μεταφράζεται ανάλογα με τα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συμφραζόμενα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με αόριστο, παρατατικό ή παρακείμενο. Σχηματίζεται περιφραστικά με τον ενεστώτα των βοηθητικών ρημάτων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haben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ή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sein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και τη μετοχή παρακειμένου, η οποία δεν κλίνεται  και μπαίνει στο τέλος της πρότασης.</w:t>
      </w:r>
    </w:p>
    <w:p w14:paraId="4CF8CCB7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Τα </w:t>
      </w: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ομαλά ρήματα 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σχηματίζουν τον παρακείμενο με το βοηθητικό ρήμα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haben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>.</w:t>
      </w:r>
    </w:p>
    <w:p w14:paraId="7FD25E0C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Η </w:t>
      </w: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μετοχή παρακειμένου ομαλών ρημάτων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 σχηματίζεται με το πρόθεμα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- και την κατάληξη –t: π.χ.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spielen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</w:t>
      </w:r>
      <w:r w:rsidRPr="00F743D3">
        <w:rPr>
          <w:rFonts w:ascii="Times New Roman" w:hAnsi="Times New Roman" w:cs="Times New Roman"/>
          <w:sz w:val="24"/>
          <w:szCs w:val="24"/>
          <w:lang w:eastAsia="el-GR"/>
        </w:rPr>
        <w:t>→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</w:t>
      </w:r>
      <w:r w:rsidRPr="00F743D3">
        <w:rPr>
          <w:rFonts w:ascii="Comic Sans MS" w:hAnsi="Comic Sans MS" w:cs="Comic Sans MS"/>
          <w:sz w:val="24"/>
          <w:szCs w:val="24"/>
          <w:lang w:eastAsia="el-GR"/>
        </w:rPr>
        <w:t>–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spiel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</w:t>
      </w:r>
      <w:r w:rsidRPr="00F743D3">
        <w:rPr>
          <w:rFonts w:ascii="Comic Sans MS" w:hAnsi="Comic Sans MS" w:cs="Comic Sans MS"/>
          <w:sz w:val="24"/>
          <w:szCs w:val="24"/>
          <w:lang w:eastAsia="el-GR"/>
        </w:rPr>
        <w:t>–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t (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gespielt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>)</w:t>
      </w:r>
    </w:p>
    <w:p w14:paraId="446EDCD5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 </w:t>
      </w:r>
      <w:r w:rsidRPr="00F743D3">
        <w:rPr>
          <w:rFonts w:ascii="Comic Sans MS" w:hAnsi="Comic Sans MS" w:cs="Times New Roman"/>
          <w:b/>
          <w:bCs/>
          <w:sz w:val="24"/>
          <w:szCs w:val="24"/>
          <w:u w:val="single"/>
          <w:lang w:eastAsia="el-GR"/>
        </w:rPr>
        <w:t>Παρατηρήσεις:</w:t>
      </w:r>
    </w:p>
    <w:p w14:paraId="6C1AB590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Τα ρήματα που παίρνουν κατά την κλίση τους στον ενεστώτα ένα ευφωνικό </w:t>
      </w: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-e-,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> το παίρνουν και στον</w:t>
      </w:r>
      <w:r w:rsidRPr="00F743D3">
        <w:rPr>
          <w:rFonts w:ascii="Comic Sans MS" w:hAnsi="Comic Sans MS" w:cs="Times New Roman"/>
          <w:b/>
          <w:bCs/>
          <w:sz w:val="24"/>
          <w:szCs w:val="24"/>
          <w:lang w:eastAsia="el-GR"/>
        </w:rPr>
        <w:t> </w:t>
      </w: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παρακείμενο. π. χ.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gearbeitet</w:t>
      </w:r>
      <w:proofErr w:type="spellEnd"/>
    </w:p>
    <w:p w14:paraId="57B43B83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lastRenderedPageBreak/>
        <w:t xml:space="preserve">Στα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χωριζόμενα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ρήματα το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- μπαίνει ανάμεσα στο πρόθεμα και το κυρίως ρήμα. π.χ.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eingekauft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, 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mitgespielt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>…</w:t>
      </w:r>
    </w:p>
    <w:p w14:paraId="385C0780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Τα μη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χωριζόμενα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ρήματα και τα ρήματα που λήγουν σε –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ieren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 δεν παίρνουν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ge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- π.χ.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erklärt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 xml:space="preserve">, </w:t>
      </w:r>
      <w:proofErr w:type="spellStart"/>
      <w:r w:rsidRPr="00F743D3">
        <w:rPr>
          <w:rFonts w:ascii="Comic Sans MS" w:hAnsi="Comic Sans MS" w:cs="Times New Roman"/>
          <w:sz w:val="24"/>
          <w:szCs w:val="24"/>
          <w:lang w:eastAsia="el-GR"/>
        </w:rPr>
        <w:t>telefoniert</w:t>
      </w:r>
      <w:proofErr w:type="spellEnd"/>
      <w:r w:rsidRPr="00F743D3">
        <w:rPr>
          <w:rFonts w:ascii="Comic Sans MS" w:hAnsi="Comic Sans MS" w:cs="Times New Roman"/>
          <w:sz w:val="24"/>
          <w:szCs w:val="24"/>
          <w:lang w:eastAsia="el-GR"/>
        </w:rPr>
        <w:t>…</w:t>
      </w:r>
    </w:p>
    <w:p w14:paraId="3D989D74" w14:textId="77777777" w:rsidR="00F743D3" w:rsidRPr="00F743D3" w:rsidRDefault="00F743D3" w:rsidP="00F743D3">
      <w:pPr>
        <w:rPr>
          <w:rFonts w:ascii="Comic Sans MS" w:hAnsi="Comic Sans MS" w:cs="Arial"/>
          <w:sz w:val="24"/>
          <w:szCs w:val="24"/>
          <w:lang w:eastAsia="el-GR"/>
        </w:rPr>
      </w:pPr>
      <w:r w:rsidRPr="00F743D3">
        <w:rPr>
          <w:rFonts w:ascii="Comic Sans MS" w:hAnsi="Comic Sans MS" w:cs="Times New Roman"/>
          <w:sz w:val="24"/>
          <w:szCs w:val="24"/>
          <w:lang w:eastAsia="el-GR"/>
        </w:rPr>
        <w:t>Κλίνονται ως εξής:</w:t>
      </w:r>
    </w:p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151"/>
        <w:gridCol w:w="2425"/>
        <w:gridCol w:w="1914"/>
        <w:gridCol w:w="2260"/>
      </w:tblGrid>
      <w:tr w:rsidR="00F743D3" w:rsidRPr="00F743D3" w14:paraId="6F9A3055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22DD50D2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F724E6D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spielen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F375FAB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einkaufen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A5E2C8B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erklären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9DF8911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b/>
                <w:bCs/>
                <w:sz w:val="24"/>
                <w:szCs w:val="24"/>
                <w:lang w:eastAsia="el-GR"/>
              </w:rPr>
              <w:t>telefonieren</w:t>
            </w:r>
            <w:proofErr w:type="spellEnd"/>
          </w:p>
        </w:tc>
      </w:tr>
      <w:tr w:rsidR="00F743D3" w:rsidRPr="00F743D3" w14:paraId="074A9DFA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93D20F2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ich</w:t>
            </w:r>
            <w:proofErr w:type="spellEnd"/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925A555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44450F3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BE22E0D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F0D9645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  <w:tr w:rsidR="00F743D3" w:rsidRPr="00F743D3" w14:paraId="2673D9DE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49B292E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du</w:t>
            </w:r>
            <w:proofErr w:type="spellEnd"/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F87ADBD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hast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321184E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hast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7AE50B6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hast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55B3101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hast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  <w:tr w:rsidR="00F743D3" w:rsidRPr="00F743D3" w14:paraId="3ED99651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579DFB5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/es</w:t>
            </w:r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F87F639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DFDCFE2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D1CEF97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A202934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  <w:tr w:rsidR="00F743D3" w:rsidRPr="00F743D3" w14:paraId="2F24C870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C6886F4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wir</w:t>
            </w:r>
            <w:proofErr w:type="spellEnd"/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110E1D34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5831035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011A38F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FBC8AC6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  <w:tr w:rsidR="00F743D3" w:rsidRPr="00F743D3" w14:paraId="1BCE00D0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12A49EE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ihr</w:t>
            </w:r>
            <w:proofErr w:type="spellEnd"/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E62EFC0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4946CBE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D1CA69C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F30BCF6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habt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  <w:tr w:rsidR="00F743D3" w:rsidRPr="00F743D3" w14:paraId="497D637A" w14:textId="77777777" w:rsidTr="00F743D3">
        <w:trPr>
          <w:tblCellSpacing w:w="0" w:type="dxa"/>
        </w:trPr>
        <w:tc>
          <w:tcPr>
            <w:tcW w:w="1456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901DE10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Sie</w:t>
            </w:r>
            <w:proofErr w:type="spellEnd"/>
          </w:p>
        </w:tc>
        <w:tc>
          <w:tcPr>
            <w:tcW w:w="2151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7B0F5FC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gespielt</w:t>
            </w:r>
            <w:proofErr w:type="spellEnd"/>
          </w:p>
        </w:tc>
        <w:tc>
          <w:tcPr>
            <w:tcW w:w="2425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AD9AD26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eingekauft</w:t>
            </w:r>
            <w:proofErr w:type="spellEnd"/>
          </w:p>
        </w:tc>
        <w:tc>
          <w:tcPr>
            <w:tcW w:w="1914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5BD45428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erklärt</w:t>
            </w:r>
            <w:proofErr w:type="spellEnd"/>
          </w:p>
        </w:tc>
        <w:tc>
          <w:tcPr>
            <w:tcW w:w="2260" w:type="dxa"/>
            <w:tcBorders>
              <w:right w:val="single" w:sz="6" w:space="0" w:color="FFFFFF"/>
            </w:tcBorders>
            <w:shd w:val="clear" w:color="auto" w:fill="F1F1F1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BAD7C10" w14:textId="77777777" w:rsidR="00F743D3" w:rsidRPr="00F743D3" w:rsidRDefault="00F743D3" w:rsidP="00F743D3">
            <w:pPr>
              <w:ind w:right="-170"/>
              <w:rPr>
                <w:rFonts w:ascii="Comic Sans MS" w:hAnsi="Comic Sans MS" w:cs="Times New Roman"/>
                <w:sz w:val="24"/>
                <w:szCs w:val="24"/>
                <w:lang w:eastAsia="el-GR"/>
              </w:rPr>
            </w:pP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haben</w:t>
            </w:r>
            <w:proofErr w:type="spellEnd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 xml:space="preserve"> … </w:t>
            </w:r>
            <w:proofErr w:type="spellStart"/>
            <w:r w:rsidRPr="00F743D3">
              <w:rPr>
                <w:rFonts w:ascii="Comic Sans MS" w:hAnsi="Comic Sans MS" w:cs="Times New Roman"/>
                <w:sz w:val="24"/>
                <w:szCs w:val="24"/>
                <w:lang w:eastAsia="el-GR"/>
              </w:rPr>
              <w:t>telefoniert</w:t>
            </w:r>
            <w:proofErr w:type="spellEnd"/>
          </w:p>
        </w:tc>
      </w:tr>
    </w:tbl>
    <w:p w14:paraId="6A5E2E49" w14:textId="77777777" w:rsidR="008D4E8B" w:rsidRPr="00F743D3" w:rsidRDefault="008D4E8B" w:rsidP="00F743D3">
      <w:pPr>
        <w:rPr>
          <w:rFonts w:ascii="Comic Sans MS" w:hAnsi="Comic Sans MS"/>
          <w:sz w:val="24"/>
          <w:szCs w:val="24"/>
        </w:rPr>
      </w:pPr>
    </w:p>
    <w:sectPr w:rsidR="008D4E8B" w:rsidRPr="00F743D3" w:rsidSect="00F743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4145CB"/>
    <w:multiLevelType w:val="multilevel"/>
    <w:tmpl w:val="69985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D3"/>
    <w:rsid w:val="00367A51"/>
    <w:rsid w:val="0039568B"/>
    <w:rsid w:val="008D4E8B"/>
    <w:rsid w:val="00CA3C18"/>
    <w:rsid w:val="00F7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83B"/>
  <w15:chartTrackingRefBased/>
  <w15:docId w15:val="{C75A802C-096D-42C2-8F37-1AB7AA09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74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743D3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F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74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Karolou</dc:creator>
  <cp:keywords/>
  <dc:description/>
  <cp:lastModifiedBy>Jseph9</cp:lastModifiedBy>
  <cp:revision>2</cp:revision>
  <dcterms:created xsi:type="dcterms:W3CDTF">2021-02-25T18:50:00Z</dcterms:created>
  <dcterms:modified xsi:type="dcterms:W3CDTF">2021-02-25T18:50:00Z</dcterms:modified>
</cp:coreProperties>
</file>