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right"/>
        <w:rPr>
          <w:rFonts w:ascii="Livvic" w:hAnsi="Livvic" w:eastAsia="Livvic" w:cs="Livvic"/>
          <w:sz w:val="20"/>
          <w:szCs w:val="20"/>
          <w:u w:val="single"/>
        </w:rPr>
      </w:pPr>
      <w:r>
        <w:rPr>
          <w:rFonts w:eastAsia="Livvic" w:cs="Livvic" w:ascii="Livvic" w:hAnsi="Livvic"/>
          <w:b/>
          <w:bCs/>
          <w:sz w:val="20"/>
          <w:szCs w:val="20"/>
        </w:rPr>
        <w:t>Name:</w:t>
      </w:r>
      <w:r>
        <w:rPr>
          <w:rFonts w:eastAsia="Livvic" w:cs="Livvic" w:ascii="Livvic" w:hAnsi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eastAsia="Livvic" w:cs="Livvic" w:ascii="Livvic" w:hAnsi="Livvic"/>
          <w:sz w:val="20"/>
          <w:szCs w:val="20"/>
        </w:rPr>
        <w:t xml:space="preserve">       ​</w:t>
      </w:r>
      <w:r>
        <w:rPr>
          <w:rFonts w:eastAsia="Livvic" w:cs="Livvic" w:ascii="Livvic" w:hAnsi="Livvic"/>
          <w:b/>
          <w:bCs/>
          <w:sz w:val="20"/>
          <w:szCs w:val="20"/>
        </w:rPr>
        <w:t xml:space="preserve">  Date:</w:t>
      </w:r>
      <w:r>
        <w:rPr>
          <w:rFonts w:eastAsia="Livvic" w:cs="Livvic" w:ascii="Livvic" w:hAnsi="Livvic"/>
          <w:sz w:val="20"/>
          <w:szCs w:val="20"/>
          <w:u w:val="single"/>
        </w:rPr>
        <w:t xml:space="preserve">                                                 ​</w:t>
      </w:r>
    </w:p>
    <w:p>
      <w:pPr>
        <w:pStyle w:val="Normal1"/>
        <w:spacing w:lineRule="auto" w:line="240" w:before="40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40"/>
          <w:szCs w:val="40"/>
        </w:rPr>
      </w:pPr>
      <w:r>
        <w:rPr>
          <w:rFonts w:eastAsia="Livvic" w:cs="Livvic" w:ascii="Livvic" w:hAnsi="Livvic"/>
          <w:b/>
          <w:bCs/>
          <w:color w:val="409E9E"/>
          <w:sz w:val="40"/>
          <w:szCs w:val="40"/>
        </w:rPr>
        <w:t>Μονοθεϊστικές Θρησκείες: Ιουδαϊσμός &amp; Χριστιανισμός</w:t>
      </w:r>
    </w:p>
    <w:p>
      <w:pPr>
        <w:pStyle w:val="Normal1"/>
        <w:spacing w:lineRule="auto" w:line="240" w:before="40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Κοινές Ρίζες και Διαφορές 🕊️​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>Ο Ιουδαϊσμός και ο Χριστιανισμός μοιράζονται βαθιές ιστορικές και θεολογικές ρίζες, καθώς και οι δύο θεωρούνται «Αβρααμικές θρησκείες». Ωστόσο, έχουν σημαντικές διαφορές στον τρόπο που αντιλαμβάνονται τον Θεό, τα ιερά κείμενα και τη λατρεία.</w:t>
      </w:r>
    </w:p>
    <w:p>
      <w:pPr>
        <w:pStyle w:val="Normal1"/>
        <w:rPr/>
      </w:pPr>
      <w:r>
        <w:rPr/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>Συμπληρώστε τον παρακάτω πίνακα σύγκρισης για να εντοπίσετε τα κοινά στοιχεία και τις διαφορές.</w:t>
      </w:r>
    </w:p>
    <w:p>
      <w:pPr>
        <w:pStyle w:val="Normal1"/>
        <w:rPr/>
      </w:pPr>
      <w:r>
        <w:rPr/>
      </w:r>
    </w:p>
    <w:tbl>
      <w:tblPr>
        <w:tblStyle w:val="Table1"/>
        <w:tblW w:w="10466" w:type="dxa"/>
        <w:jc w:val="left"/>
        <w:tblInd w:w="0" w:type="dxa"/>
        <w:tblLayout w:type="fixed"/>
        <w:tblCellMar>
          <w:top w:w="240" w:type="dxa"/>
          <w:left w:w="240" w:type="dxa"/>
          <w:bottom w:w="240" w:type="dxa"/>
          <w:right w:w="240" w:type="dxa"/>
        </w:tblCellMar>
        <w:tblLook w:val="0600"/>
      </w:tblPr>
      <w:tblGrid>
        <w:gridCol w:w="3488"/>
        <w:gridCol w:w="3489"/>
        <w:gridCol w:w="3489"/>
      </w:tblGrid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Χαρακτηριστικό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 xml:space="preserve">✡️​ </w:t>
            </w: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Ιουδαϊσμός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 xml:space="preserve">✝️​ </w:t>
            </w: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Χριστιανισμός</w:t>
            </w:r>
          </w:p>
        </w:tc>
      </w:tr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Ιερές Γραφές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Τανάκ (Τορά, Προφήτες, Αγιόγραφα)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Παλαιά και Καινή Διαθήκη</w:t>
            </w:r>
          </w:p>
        </w:tc>
      </w:tr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Ιερή Ημέρα Λατρείας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Κυριακή</w:t>
            </w:r>
          </w:p>
        </w:tc>
      </w:tr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Τόπος Λατρείας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Εκκλησία / Ναός</w:t>
            </w:r>
          </w:p>
        </w:tc>
      </w:tr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Κεντρική Γιορτή (Άνοιξη)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Πεσσάχ (Εβραϊκό Πάσχα)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Ηθικός Νόμος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Δέκα Εντολές &amp; Mitzvot (πράξεις αγάπης)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Σύμβολα και Έννοιες</w:t>
      </w:r>
    </w:p>
    <w:p>
      <w:pPr>
        <w:pStyle w:val="Normal1"/>
        <w:rPr/>
      </w:pPr>
      <w:r>
        <w:rPr/>
      </w:r>
    </w:p>
    <w:tbl>
      <w:tblPr>
        <w:tblStyle w:val="Table2"/>
        <w:tblW w:w="10466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120" w:type="dxa"/>
        </w:tblCellMar>
        <w:tblLook w:val="0600"/>
      </w:tblPr>
      <w:tblGrid>
        <w:gridCol w:w="7326"/>
        <w:gridCol w:w="3139"/>
      </w:tblGrid>
      <w:tr>
        <w:trPr/>
        <w:tc>
          <w:tcPr>
            <w:tcW w:w="7326" w:type="dxa"/>
            <w:tcBorders/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sz w:val="24"/>
                <w:szCs w:val="24"/>
              </w:rPr>
            </w:pPr>
            <w:r>
              <w:rPr>
                <w:rFonts w:eastAsia="Livvic" w:cs="Livvic" w:ascii="Livvic" w:hAnsi="Livvic"/>
                <w:sz w:val="24"/>
                <w:szCs w:val="24"/>
              </w:rPr>
              <w:t>Η κατανόηση των ιερών κειμένων και των συμβόλων είναι κλειδί για τη σύγκριση των δύο θρησκειών. Παρατηρήστε την εικόνα και απαντήστε στην ερώτηση.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vvic" w:hAnsi="Livvic" w:eastAsia="Livvic" w:cs="Livvic"/>
                <w:b/>
                <w:b/>
                <w:bCs/>
                <w:sz w:val="24"/>
                <w:szCs w:val="24"/>
              </w:rPr>
            </w:pPr>
            <w:r>
              <w:rPr>
                <w:rFonts w:eastAsia="Livvic" w:cs="Livvic" w:ascii="Livvic" w:hAnsi="Livvic"/>
                <w:b/>
                <w:bCs/>
                <w:sz w:val="24"/>
                <w:szCs w:val="24"/>
              </w:rPr>
              <w:t>Ποια πέντε βιβλία αποτελούν την Τορά (τον Νόμο) που αναγνωρίζονται και από τις δύο θρησκείες ως μέρος της Αγίας Γραφής;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tbl>
            <w:tblPr>
              <w:tblStyle w:val="Table3"/>
              <w:tblW w:w="7205" w:type="dxa"/>
              <w:jc w:val="left"/>
              <w:tblInd w:w="0" w:type="dxa"/>
              <w:tblLayout w:type="fixed"/>
              <w:tblCellMar>
                <w:top w:w="240" w:type="dxa"/>
                <w:left w:w="240" w:type="dxa"/>
                <w:bottom w:w="240" w:type="dxa"/>
                <w:right w:w="240" w:type="dxa"/>
              </w:tblCellMar>
              <w:tblLook w:val="0600"/>
            </w:tblPr>
            <w:tblGrid>
              <w:gridCol w:w="7205"/>
            </w:tblGrid>
            <w:tr>
              <w:trPr/>
              <w:tc>
                <w:tcPr>
                  <w:tcW w:w="7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auto" w:val="clear"/>
                </w:tcPr>
                <w:p>
                  <w:pPr>
                    <w:pStyle w:val="Normal1"/>
                    <w:keepNext w:val="false"/>
                    <w:keepLines w:val="false"/>
                    <w:widowControl w:val="false"/>
                    <w:pBdr/>
                    <w:shd w:val="clear" w:fill="auto"/>
                    <w:spacing w:lineRule="auto" w:line="240" w:before="0" w:after="0"/>
                    <w:ind w:left="0" w:right="0" w:hanging="0"/>
                    <w:jc w:val="left"/>
                    <w:rPr/>
                  </w:pPr>
                  <w:r>
                    <w:rPr/>
                  </w:r>
                </w:p>
                <w:p>
                  <w:pPr>
                    <w:pStyle w:val="Normal1"/>
                    <w:keepNext w:val="false"/>
                    <w:keepLines w:val="false"/>
                    <w:widowControl w:val="false"/>
                    <w:pBdr/>
                    <w:shd w:val="clear" w:fill="auto"/>
                    <w:spacing w:lineRule="auto" w:line="240" w:before="0" w:after="0"/>
                    <w:ind w:left="0" w:right="0" w:hanging="0"/>
                    <w:jc w:val="left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139" w:type="dxa"/>
            <w:tcBorders/>
            <w:shd w:fill="auto" w:val="clear"/>
            <w:tcMar>
              <w:left w:w="120" w:type="dxa"/>
              <w:right w:w="0" w:type="dxa"/>
            </w:tcMar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  <w:drawing>
                <wp:inline distT="0" distB="0" distL="0" distR="0">
                  <wp:extent cx="1895475" cy="1895475"/>
                  <wp:effectExtent l="0" t="0" r="0" b="0"/>
                  <wp:docPr id="1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Κριτική Σκέψη: Η Έννοια της «Διαθήκης» 💭​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 xml:space="preserve">Στον Ιουδαϊσμό, η </w:t>
      </w:r>
      <w:r>
        <w:rPr>
          <w:rFonts w:eastAsia="Livvic" w:cs="Livvic" w:ascii="Livvic" w:hAnsi="Livvic"/>
          <w:b/>
          <w:bCs/>
          <w:sz w:val="24"/>
          <w:szCs w:val="24"/>
        </w:rPr>
        <w:t>«Διαθήκη»</w:t>
      </w:r>
      <w:r>
        <w:rPr>
          <w:rFonts w:eastAsia="Livvic" w:cs="Livvic" w:ascii="Livvic" w:hAnsi="Livvic"/>
          <w:sz w:val="24"/>
          <w:szCs w:val="24"/>
        </w:rPr>
        <w:t xml:space="preserve"> είναι η ιερή συμφωνία μεταξύ Θεού και λαού. Στον Χριστιανισμό, μιλάμε για την «Καινή (Νέα) Διαθήκη».</w:t>
      </w:r>
    </w:p>
    <w:p>
      <w:pPr>
        <w:pStyle w:val="Normal1"/>
        <w:rPr/>
      </w:pPr>
      <w:r>
        <w:rPr/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>Με βάση όσα διδαχθήκατε, γράψτε μια σύντομη παράγραφο εξηγώντας πώς η έννοια της αλληλεγγύης (Tzedakah) και της αγάπης προς τον πλησίον συνδέει αυτές τις δύο θρησκείες.</w:t>
      </w:r>
    </w:p>
    <w:p>
      <w:pPr>
        <w:pStyle w:val="Normal1"/>
        <w:rPr/>
      </w:pPr>
      <w:r>
        <w:rPr/>
      </w:r>
    </w:p>
    <w:tbl>
      <w:tblPr>
        <w:tblStyle w:val="Table4"/>
        <w:tblW w:w="10466" w:type="dxa"/>
        <w:jc w:val="left"/>
        <w:tblInd w:w="0" w:type="dxa"/>
        <w:tblLayout w:type="fixed"/>
        <w:tblCellMar>
          <w:top w:w="80" w:type="dxa"/>
          <w:left w:w="0" w:type="dxa"/>
          <w:bottom w:w="80" w:type="dxa"/>
          <w:right w:w="0" w:type="dxa"/>
        </w:tblCellMar>
        <w:tblLook w:val="0600"/>
      </w:tblPr>
      <w:tblGrid>
        <w:gridCol w:w="10466"/>
      </w:tblGrid>
      <w:tr>
        <w:trPr/>
        <w:tc>
          <w:tcPr>
            <w:tcW w:w="10466" w:type="dxa"/>
            <w:tcBorders>
              <w:bottom w:val="dashed" w:sz="6" w:space="0" w:color="767676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0466" w:type="dxa"/>
            <w:tcBorders>
              <w:top w:val="dashed" w:sz="6" w:space="0" w:color="767676"/>
              <w:bottom w:val="dashed" w:sz="6" w:space="0" w:color="767676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0466" w:type="dxa"/>
            <w:tcBorders>
              <w:top w:val="dashed" w:sz="6" w:space="0" w:color="767676"/>
              <w:bottom w:val="dashed" w:sz="6" w:space="0" w:color="767676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br w:type="page"/>
      </w: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Answer Key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Κοινές Ρίζες και Διαφορές 🕊️​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sz w:val="24"/>
          <w:szCs w:val="24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Απαντήσεις:</w:t>
      </w:r>
    </w:p>
    <w:p>
      <w:pPr>
        <w:pStyle w:val="Normal1"/>
        <w:numPr>
          <w:ilvl w:val="0"/>
          <w:numId w:val="1"/>
        </w:numPr>
        <w:ind w:left="720" w:hanging="360"/>
        <w:rPr>
          <w:rFonts w:ascii="Livvic" w:hAnsi="Livvic" w:eastAsia="Livvic" w:cs="Livvic"/>
          <w:sz w:val="24"/>
          <w:szCs w:val="24"/>
          <w:u w:val="none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Ιερή Ημέρα:</w:t>
      </w:r>
      <w:r>
        <w:rPr>
          <w:rFonts w:eastAsia="Livvic" w:cs="Livvic" w:ascii="Livvic" w:hAnsi="Livvic"/>
          <w:sz w:val="24"/>
          <w:szCs w:val="24"/>
        </w:rPr>
        <w:t xml:space="preserve"> Σάββατο (Ιουδαϊσμός)</w:t>
      </w:r>
    </w:p>
    <w:p>
      <w:pPr>
        <w:pStyle w:val="Normal1"/>
        <w:numPr>
          <w:ilvl w:val="0"/>
          <w:numId w:val="1"/>
        </w:numPr>
        <w:ind w:left="720" w:hanging="360"/>
        <w:rPr>
          <w:rFonts w:ascii="Livvic" w:hAnsi="Livvic" w:eastAsia="Livvic" w:cs="Livvic"/>
          <w:sz w:val="24"/>
          <w:szCs w:val="24"/>
          <w:u w:val="none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Τόπος Λατρείας:</w:t>
      </w:r>
      <w:r>
        <w:rPr>
          <w:rFonts w:eastAsia="Livvic" w:cs="Livvic" w:ascii="Livvic" w:hAnsi="Livvic"/>
          <w:sz w:val="24"/>
          <w:szCs w:val="24"/>
        </w:rPr>
        <w:t xml:space="preserve"> Συναγωγή (Ιουδαϊσμός)</w:t>
      </w:r>
    </w:p>
    <w:p>
      <w:pPr>
        <w:pStyle w:val="Normal1"/>
        <w:numPr>
          <w:ilvl w:val="0"/>
          <w:numId w:val="1"/>
        </w:numPr>
        <w:ind w:left="720" w:hanging="360"/>
        <w:rPr>
          <w:rFonts w:ascii="Livvic" w:hAnsi="Livvic" w:eastAsia="Livvic" w:cs="Livvic"/>
          <w:sz w:val="24"/>
          <w:szCs w:val="24"/>
          <w:u w:val="none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Κεντρική Γιορτή:</w:t>
      </w:r>
      <w:r>
        <w:rPr>
          <w:rFonts w:eastAsia="Livvic" w:cs="Livvic" w:ascii="Livvic" w:hAnsi="Livvic"/>
          <w:sz w:val="24"/>
          <w:szCs w:val="24"/>
        </w:rPr>
        <w:t xml:space="preserve"> Πάσχα / Ανάσταση (Χριστιανισμός)</w:t>
      </w:r>
    </w:p>
    <w:p>
      <w:pPr>
        <w:pStyle w:val="Normal1"/>
        <w:numPr>
          <w:ilvl w:val="0"/>
          <w:numId w:val="1"/>
        </w:numPr>
        <w:ind w:left="720" w:hanging="360"/>
        <w:rPr>
          <w:rFonts w:ascii="Livvic" w:hAnsi="Livvic" w:eastAsia="Livvic" w:cs="Livvic"/>
          <w:sz w:val="24"/>
          <w:szCs w:val="24"/>
          <w:u w:val="none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Ηθικός Νόμος:</w:t>
      </w:r>
      <w:r>
        <w:rPr>
          <w:rFonts w:eastAsia="Livvic" w:cs="Livvic" w:ascii="Livvic" w:hAnsi="Livvic"/>
          <w:sz w:val="24"/>
          <w:szCs w:val="24"/>
        </w:rPr>
        <w:t xml:space="preserve"> Δέκα Εντολές &amp; Διδασκαλία της Αγάπης / Επί του Όρους Ομιλία (Χριστιανισμός)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Σύμβολα και Έννοιες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sz w:val="24"/>
          <w:szCs w:val="24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Answer:</w:t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>Γένεση, Έξοδος, Λευιτικό, Αριθμοί, Δευτερονόμιο.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color w:val="409E9E"/>
          <w:sz w:val="32"/>
          <w:szCs w:val="32"/>
        </w:rPr>
      </w:pPr>
      <w:r>
        <w:rPr>
          <w:rFonts w:eastAsia="Livvic" w:cs="Livvic" w:ascii="Livvic" w:hAnsi="Livvic"/>
          <w:b/>
          <w:bCs/>
          <w:color w:val="409E9E"/>
          <w:sz w:val="32"/>
          <w:szCs w:val="32"/>
        </w:rPr>
        <w:t>Κριτική Σκέψη: Η Έννοια της «Διαθήκης» 💭​</w:t>
      </w:r>
    </w:p>
    <w:p>
      <w:pPr>
        <w:pStyle w:val="Normal1"/>
        <w:spacing w:lineRule="auto" w:line="240" w:before="240" w:after="0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>
      <w:pPr>
        <w:pStyle w:val="Normal1"/>
        <w:rPr>
          <w:rFonts w:ascii="Livvic" w:hAnsi="Livvic" w:eastAsia="Livvic" w:cs="Livvic"/>
          <w:b/>
          <w:b/>
          <w:bCs/>
          <w:sz w:val="24"/>
          <w:szCs w:val="24"/>
        </w:rPr>
      </w:pPr>
      <w:r>
        <w:rPr>
          <w:rFonts w:eastAsia="Livvic" w:cs="Livvic" w:ascii="Livvic" w:hAnsi="Livvic"/>
          <w:b/>
          <w:bCs/>
          <w:sz w:val="24"/>
          <w:szCs w:val="24"/>
        </w:rPr>
        <w:t>Answer:</w:t>
      </w:r>
    </w:p>
    <w:p>
      <w:pPr>
        <w:pStyle w:val="Normal1"/>
        <w:rPr>
          <w:rFonts w:ascii="Livvic" w:hAnsi="Livvic" w:eastAsia="Livvic" w:cs="Livvic"/>
          <w:sz w:val="24"/>
          <w:szCs w:val="24"/>
        </w:rPr>
      </w:pPr>
      <w:r>
        <w:rPr>
          <w:rFonts w:eastAsia="Livvic" w:cs="Livvic" w:ascii="Livvic" w:hAnsi="Livvic"/>
          <w:sz w:val="24"/>
          <w:szCs w:val="24"/>
        </w:rPr>
        <w:t>Και οι δύο θρησκείες δίνουν έμφαση στην ηθική συμπεριφορά και τη φροντίδα για τον συνάνθρωπο. Στον Ιουδαϊσμό η Tzedakah (δικαιοσύνη/ελεημοσύνη) είναι καθήκον, ενώ στον Χριστιανισμό η αγάπη προς τον πλησίον είναι κεντρική εντολή.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a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vvic">
    <w:charset w:val="a1"/>
    <w:family w:val="roman"/>
    <w:pitch w:val="variable"/>
    <w:embedBoldItalic r:id="rId18" w:fontKey="{12014A78-CABC-4EF0-12AC-5CD89AEFDE12}"/>
  </w:font>
  <w:font w:name="Wingdings">
    <w:charset w:val="02"/>
    <w:family w:val="auto"/>
    <w:pitch w:val="default"/>
    <w:embedRegular r:id="rId19" w:fontKey="{13014A78-CABC-4EF0-12AC-5CD89AEFDE13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42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Επικεφαλίδα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Mangal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2">
    <w:name w:val="Ευρετήριο"/>
    <w:basedOn w:val="Normal"/>
    <w:qFormat/>
    <w:pPr>
      <w:suppressLineNumbers/>
    </w:pPr>
    <w:rPr>
      <w:rFonts w:cs="Mang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LibreOffice/7.0.3.1$Windows_X86_64 LibreOffice_project/d7547858d014d4cf69878db179d326fc3483e082</Application>
  <Pages>3</Pages>
  <Words>285</Words>
  <Characters>1647</Characters>
  <CharactersWithSpaces>2068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cp:revision>0</cp:revision>
  <dc:subject/>
  <dc:title/>
</cp:coreProperties>
</file>